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669" w:rsidRPr="00E63898" w:rsidRDefault="00A72669" w:rsidP="00A7266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3898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tbl>
      <w:tblPr>
        <w:tblStyle w:val="a3"/>
        <w:tblpPr w:leftFromText="180" w:rightFromText="180" w:vertAnchor="page" w:horzAnchor="margin" w:tblpY="201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72669" w:rsidRPr="00E63898" w:rsidTr="00202DB9"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2669" w:rsidRPr="00E63898" w:rsidTr="00202DB9"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Общая и аналитичес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кая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имия…………………………………………………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72669" w:rsidRPr="00E63898" w:rsidTr="00202DB9">
        <w:tc>
          <w:tcPr>
            <w:tcW w:w="9571" w:type="dxa"/>
          </w:tcPr>
          <w:p w:rsidR="00A72669" w:rsidRPr="00EE0837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1 Теоретически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раздел………………………………………………………...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72669" w:rsidRPr="00E63898" w:rsidTr="00202DB9">
        <w:tc>
          <w:tcPr>
            <w:tcW w:w="9571" w:type="dxa"/>
          </w:tcPr>
          <w:p w:rsidR="00A72669" w:rsidRPr="00EE0837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Pr="00E63898"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 xml:space="preserve"> Перечень теоретического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72669" w:rsidRPr="00E63898" w:rsidTr="00202DB9"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Лекция 1: Вв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едение……………………………………………………………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72669" w:rsidRPr="00E63898" w:rsidTr="00202DB9">
        <w:trPr>
          <w:trHeight w:val="16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</w:t>
            </w:r>
            <w:proofErr w:type="gramStart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2:  Строение</w:t>
            </w:r>
            <w:proofErr w:type="gramEnd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 вещест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ва. Строение атома……………………………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72669" w:rsidRPr="00E63898" w:rsidTr="00202DB9">
        <w:trPr>
          <w:trHeight w:val="19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Лекция 3: Периодическая система элементов Д.И. Менделеева, и электронное строение 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72669" w:rsidRPr="00E63898" w:rsidTr="00202DB9">
        <w:trPr>
          <w:trHeight w:val="112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4:  Химическая связь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строение молекул…………………………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A72669" w:rsidRPr="00E63898" w:rsidTr="00202DB9">
        <w:trPr>
          <w:trHeight w:val="16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Лекция 5: Энергетика химических процессов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72669" w:rsidRPr="00E63898" w:rsidTr="00202DB9">
        <w:trPr>
          <w:trHeight w:val="142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Лекция 6: Химическая кинети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и равновесие………………………………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A72669" w:rsidRPr="00E63898" w:rsidTr="00202DB9">
        <w:trPr>
          <w:trHeight w:val="15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Лекция 7:  Химическо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равновесие…………………………………………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A72669" w:rsidRPr="00E63898" w:rsidTr="00202DB9">
        <w:trPr>
          <w:trHeight w:val="16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Лекция 8:  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воры…………………………………………………………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A72669" w:rsidRPr="00E63898" w:rsidTr="00202DB9">
        <w:trPr>
          <w:trHeight w:val="15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9:  Растворы </w:t>
            </w:r>
            <w:proofErr w:type="spellStart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неэ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лектролитов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72669" w:rsidRPr="00E63898" w:rsidTr="00202DB9"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Лекция 10:  Растворы эл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ектролитов………………………………………….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A72669" w:rsidRPr="00E63898" w:rsidTr="00202DB9">
        <w:trPr>
          <w:trHeight w:val="15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11:  </w:t>
            </w:r>
            <w:r w:rsidRPr="00E63898">
              <w:rPr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r w:rsidRPr="00E63898">
              <w:rPr>
                <w:rFonts w:ascii="Times New Roman" w:hAnsi="Times New Roman" w:cs="Times New Roman"/>
                <w:sz w:val="28"/>
              </w:rPr>
              <w:t>Гетерогенное химическое равновесие в растворах электро</w:t>
            </w:r>
            <w:r>
              <w:rPr>
                <w:rFonts w:ascii="Times New Roman" w:hAnsi="Times New Roman" w:cs="Times New Roman"/>
                <w:sz w:val="28"/>
              </w:rPr>
              <w:t>лит</w:t>
            </w:r>
            <w:r>
              <w:rPr>
                <w:rFonts w:ascii="Times New Roman" w:hAnsi="Times New Roman" w:cs="Times New Roman"/>
                <w:sz w:val="28"/>
              </w:rPr>
              <w:t>ов…………………………………………………………………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</w:rPr>
              <w:t>62</w:t>
            </w:r>
          </w:p>
        </w:tc>
      </w:tr>
      <w:tr w:rsidR="00A72669" w:rsidRPr="00E63898" w:rsidTr="00202DB9">
        <w:trPr>
          <w:trHeight w:val="12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12: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Ионное про</w:t>
            </w:r>
            <w:r>
              <w:rPr>
                <w:rFonts w:ascii="Times New Roman" w:hAnsi="Times New Roman" w:cs="Times New Roman"/>
                <w:sz w:val="28"/>
              </w:rPr>
              <w:t>изведение воды……………………………………</w:t>
            </w:r>
            <w:r>
              <w:rPr>
                <w:rFonts w:ascii="Times New Roman" w:hAnsi="Times New Roman" w:cs="Times New Roman"/>
                <w:sz w:val="28"/>
              </w:rPr>
              <w:t>67</w:t>
            </w:r>
          </w:p>
        </w:tc>
      </w:tr>
      <w:tr w:rsidR="00A72669" w:rsidRPr="00E63898" w:rsidTr="00202DB9">
        <w:trPr>
          <w:trHeight w:val="9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13: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 w:rsidRPr="00E63898">
              <w:rPr>
                <w:rFonts w:ascii="Times New Roman" w:hAnsi="Times New Roman" w:cs="Times New Roman"/>
                <w:sz w:val="28"/>
              </w:rPr>
              <w:t>Комплексообр</w:t>
            </w:r>
            <w:r>
              <w:rPr>
                <w:rFonts w:ascii="Times New Roman" w:hAnsi="Times New Roman" w:cs="Times New Roman"/>
                <w:sz w:val="28"/>
              </w:rPr>
              <w:t>азов</w:t>
            </w:r>
            <w:r>
              <w:rPr>
                <w:rFonts w:ascii="Times New Roman" w:hAnsi="Times New Roman" w:cs="Times New Roman"/>
                <w:sz w:val="28"/>
              </w:rPr>
              <w:t>ание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 растворах…………………………</w:t>
            </w:r>
            <w:r>
              <w:rPr>
                <w:rFonts w:ascii="Times New Roman" w:hAnsi="Times New Roman" w:cs="Times New Roman"/>
                <w:sz w:val="28"/>
              </w:rPr>
              <w:t>77</w:t>
            </w:r>
          </w:p>
        </w:tc>
      </w:tr>
      <w:tr w:rsidR="00A72669" w:rsidRPr="00E63898" w:rsidTr="00202DB9">
        <w:trPr>
          <w:trHeight w:val="12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14: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 w:rsidRPr="00E63898">
              <w:rPr>
                <w:rFonts w:ascii="Times New Roman" w:hAnsi="Times New Roman" w:cs="Times New Roman"/>
                <w:sz w:val="28"/>
              </w:rPr>
              <w:t>Окислительно</w:t>
            </w:r>
            <w:proofErr w:type="spellEnd"/>
            <w:r w:rsidRPr="00E63898">
              <w:rPr>
                <w:rFonts w:ascii="Times New Roman" w:hAnsi="Times New Roman" w:cs="Times New Roman"/>
                <w:sz w:val="28"/>
              </w:rPr>
              <w:t xml:space="preserve"> — восстановительные реакции</w:t>
            </w:r>
            <w:r>
              <w:rPr>
                <w:rFonts w:ascii="Times New Roman" w:hAnsi="Times New Roman" w:cs="Times New Roman"/>
                <w:sz w:val="28"/>
              </w:rPr>
              <w:t>………………</w:t>
            </w:r>
            <w:r>
              <w:rPr>
                <w:rFonts w:ascii="Times New Roman" w:hAnsi="Times New Roman" w:cs="Times New Roman"/>
                <w:sz w:val="28"/>
              </w:rPr>
              <w:t>84</w:t>
            </w:r>
          </w:p>
        </w:tc>
      </w:tr>
      <w:tr w:rsidR="00A72669" w:rsidRPr="00E63898" w:rsidTr="00202DB9">
        <w:trPr>
          <w:trHeight w:val="13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15: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Электродные потенциалы и электродвижущие силы</w:t>
            </w:r>
            <w:r>
              <w:rPr>
                <w:rFonts w:ascii="Times New Roman" w:hAnsi="Times New Roman" w:cs="Times New Roman"/>
                <w:sz w:val="28"/>
              </w:rPr>
              <w:t>………</w:t>
            </w:r>
            <w:r>
              <w:rPr>
                <w:rFonts w:ascii="Times New Roman" w:hAnsi="Times New Roman" w:cs="Times New Roman"/>
                <w:sz w:val="28"/>
              </w:rPr>
              <w:t>89</w:t>
            </w:r>
          </w:p>
        </w:tc>
      </w:tr>
      <w:tr w:rsidR="00A72669" w:rsidRPr="00E63898" w:rsidTr="00202DB9">
        <w:trPr>
          <w:trHeight w:val="16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16: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Коррозия металлов, электролиз</w:t>
            </w:r>
            <w:r>
              <w:rPr>
                <w:rFonts w:ascii="Times New Roman" w:hAnsi="Times New Roman" w:cs="Times New Roman"/>
                <w:sz w:val="28"/>
              </w:rPr>
              <w:t>………………………………</w:t>
            </w:r>
            <w:r>
              <w:rPr>
                <w:rFonts w:ascii="Times New Roman" w:hAnsi="Times New Roman" w:cs="Times New Roman"/>
                <w:sz w:val="28"/>
              </w:rPr>
              <w:t>93</w:t>
            </w:r>
          </w:p>
        </w:tc>
      </w:tr>
      <w:tr w:rsidR="00A72669" w:rsidRPr="00E63898" w:rsidTr="00202DB9">
        <w:trPr>
          <w:trHeight w:val="9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17: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Элементы I А группы</w:t>
            </w:r>
            <w:r>
              <w:rPr>
                <w:rFonts w:ascii="Times New Roman" w:hAnsi="Times New Roman" w:cs="Times New Roman"/>
                <w:sz w:val="28"/>
              </w:rPr>
              <w:t>…………………………………………</w:t>
            </w:r>
            <w:r>
              <w:rPr>
                <w:rFonts w:ascii="Times New Roman" w:hAnsi="Times New Roman" w:cs="Times New Roman"/>
                <w:sz w:val="28"/>
              </w:rPr>
              <w:t>101</w:t>
            </w:r>
          </w:p>
        </w:tc>
      </w:tr>
      <w:tr w:rsidR="00A72669" w:rsidRPr="00E63898" w:rsidTr="00202DB9">
        <w:trPr>
          <w:trHeight w:val="15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18: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Элементы VA группы, общая характеристика</w:t>
            </w:r>
            <w:r>
              <w:rPr>
                <w:rFonts w:ascii="Times New Roman" w:hAnsi="Times New Roman" w:cs="Times New Roman"/>
                <w:sz w:val="28"/>
              </w:rPr>
              <w:t>………………</w:t>
            </w:r>
            <w:r>
              <w:rPr>
                <w:rFonts w:ascii="Times New Roman" w:hAnsi="Times New Roman" w:cs="Times New Roman"/>
                <w:sz w:val="28"/>
              </w:rPr>
              <w:t>117</w:t>
            </w:r>
          </w:p>
        </w:tc>
      </w:tr>
      <w:tr w:rsidR="00A72669" w:rsidRPr="00E63898" w:rsidTr="00202DB9">
        <w:trPr>
          <w:trHeight w:val="10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19: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Элементы VIА группы</w:t>
            </w:r>
            <w:r>
              <w:rPr>
                <w:rFonts w:ascii="Times New Roman" w:hAnsi="Times New Roman" w:cs="Times New Roman"/>
                <w:sz w:val="28"/>
              </w:rPr>
              <w:t>………………………………………</w:t>
            </w:r>
            <w:r>
              <w:rPr>
                <w:rFonts w:ascii="Times New Roman" w:hAnsi="Times New Roman" w:cs="Times New Roman"/>
                <w:sz w:val="28"/>
              </w:rPr>
              <w:t>127</w:t>
            </w:r>
          </w:p>
        </w:tc>
      </w:tr>
      <w:tr w:rsidR="00A72669" w:rsidRPr="00E63898" w:rsidTr="00202DB9">
        <w:trPr>
          <w:trHeight w:val="13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20: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VIIА группа, общая характеристика</w:t>
            </w:r>
            <w:r>
              <w:rPr>
                <w:rFonts w:ascii="Times New Roman" w:hAnsi="Times New Roman" w:cs="Times New Roman"/>
                <w:sz w:val="28"/>
              </w:rPr>
              <w:t>…………………………</w:t>
            </w:r>
            <w:r>
              <w:rPr>
                <w:rFonts w:ascii="Times New Roman" w:hAnsi="Times New Roman" w:cs="Times New Roman"/>
                <w:sz w:val="28"/>
              </w:rPr>
              <w:t>139</w:t>
            </w:r>
          </w:p>
        </w:tc>
      </w:tr>
      <w:tr w:rsidR="00A72669" w:rsidRPr="00E63898" w:rsidTr="00202DB9">
        <w:trPr>
          <w:trHeight w:val="12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21: </w:t>
            </w:r>
            <w:r w:rsidRPr="00E63898">
              <w:rPr>
                <w:rFonts w:ascii="Times New Roman" w:hAnsi="Times New Roman" w:cs="Times New Roman"/>
                <w:sz w:val="28"/>
              </w:rPr>
              <w:t xml:space="preserve">  Общая характеристика металлов d- семейства</w:t>
            </w:r>
            <w:r>
              <w:rPr>
                <w:rFonts w:ascii="Times New Roman" w:hAnsi="Times New Roman" w:cs="Times New Roman"/>
                <w:sz w:val="28"/>
              </w:rPr>
              <w:t>………………</w:t>
            </w:r>
            <w:r>
              <w:rPr>
                <w:rFonts w:ascii="Times New Roman" w:hAnsi="Times New Roman" w:cs="Times New Roman"/>
                <w:sz w:val="28"/>
              </w:rPr>
              <w:t>149</w:t>
            </w:r>
          </w:p>
        </w:tc>
      </w:tr>
      <w:tr w:rsidR="00A72669" w:rsidRPr="00E63898" w:rsidTr="00202DB9">
        <w:trPr>
          <w:trHeight w:val="13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22: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 </w:t>
            </w:r>
            <w:r w:rsidRPr="00E63898">
              <w:rPr>
                <w:rFonts w:ascii="Times New Roman" w:hAnsi="Times New Roman" w:cs="Times New Roman"/>
              </w:rPr>
              <w:t xml:space="preserve">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литическую химию…………………………..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</w:tr>
      <w:tr w:rsidR="00A72669" w:rsidRPr="00E63898" w:rsidTr="00202DB9">
        <w:trPr>
          <w:trHeight w:val="11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23: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Качествен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ный анализ…………………………………………..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</w:tr>
      <w:tr w:rsidR="00A72669" w:rsidRPr="00E63898" w:rsidTr="00202DB9">
        <w:trPr>
          <w:trHeight w:val="13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24: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Анали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катионов…………………………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A72669" w:rsidRPr="00E63898" w:rsidTr="00202DB9">
        <w:trPr>
          <w:trHeight w:val="13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</w:t>
            </w:r>
            <w:proofErr w:type="gramStart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25: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Анализ анионов. 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анионов на группы……………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</w:tr>
      <w:tr w:rsidR="00A72669" w:rsidRPr="00E63898" w:rsidTr="00202DB9">
        <w:trPr>
          <w:trHeight w:val="11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26: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Раствор как среда для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нения аналитических реакций..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</w:tr>
      <w:tr w:rsidR="00A72669" w:rsidRPr="00E63898" w:rsidTr="00202DB9">
        <w:trPr>
          <w:trHeight w:val="11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27: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Гравиметр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ический анализ……………………………………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</w:tr>
      <w:tr w:rsidR="00A72669" w:rsidRPr="00E63898" w:rsidTr="00202DB9">
        <w:trPr>
          <w:trHeight w:val="13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</w:t>
            </w:r>
            <w:proofErr w:type="gramStart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28:  Титриметрические</w:t>
            </w:r>
            <w:proofErr w:type="gramEnd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 методы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иза. Принцип титриметрии..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A72669" w:rsidRPr="00E63898" w:rsidTr="00202DB9">
        <w:trPr>
          <w:trHeight w:val="12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29: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Метод кислотн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овного титрования……………………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</w:tr>
      <w:tr w:rsidR="00A72669" w:rsidRPr="00E63898" w:rsidTr="00202DB9">
        <w:trPr>
          <w:trHeight w:val="13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30: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Метод </w:t>
            </w:r>
            <w:proofErr w:type="spellStart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-во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сстановительного титрования……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</w:tr>
      <w:tr w:rsidR="00A72669" w:rsidRPr="00E63898" w:rsidTr="00202DB9">
        <w:trPr>
          <w:trHeight w:val="9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</w:t>
            </w:r>
            <w:proofErr w:type="gramStart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31: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Физико-химические методы анализа. Классификация основных физико-химических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тодов анализа………………………………………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</w:tr>
      <w:tr w:rsidR="00A72669" w:rsidRPr="00E63898" w:rsidTr="00202DB9">
        <w:trPr>
          <w:trHeight w:val="105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32: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Электрохимичес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кие методы анализа…………………………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</w:tr>
      <w:tr w:rsidR="00A72669" w:rsidRPr="00E63898" w:rsidTr="00202DB9">
        <w:trPr>
          <w:trHeight w:val="150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33: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Оптические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етоды анализа…………………………………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Лекция 34: </w:t>
            </w:r>
            <w:r w:rsidRPr="00E63898">
              <w:rPr>
                <w:rFonts w:ascii="Times New Roman" w:hAnsi="Times New Roman" w:cs="Times New Roman"/>
              </w:rPr>
              <w:t xml:space="preserve"> 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Хромат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ография…………………………………………………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Практический 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2.1 Перечень лабораторных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 по общей химии………………………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1:Химическая кинетика, основные положения и понятия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2: Химическое равновесие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3: Растворы. Осмотическое давление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4: Растворы электролитов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5: Ионное произведение воды. Водородный показатель. Гидролиз солей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6: </w:t>
            </w:r>
            <w:proofErr w:type="spellStart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-восстановительные реакции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7: Электрохимические реакции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8: Комплексные соединения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………….……………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9: Водород и его соединения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.291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10: Галогены. Галогеноводородные кислоты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11: Элементы </w:t>
            </w:r>
            <w:proofErr w:type="spellStart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погруппы</w:t>
            </w:r>
            <w:proofErr w:type="spellEnd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 кислорода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12: Сера и ее соединения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13: Элементы подгруппы азота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2.2 Перечень лабораторных рабо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аналитической химии………….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1: Реакции и процессы используемые в аналитической </w:t>
            </w:r>
            <w:proofErr w:type="spellStart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химиии</w:t>
            </w:r>
            <w:proofErr w:type="spellEnd"/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2: Сущность гравиметрического анализа и границы его примен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3: Титриметрические методы. Метод кислотно-основного 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ования………………………………………………………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4: Определение концентрации раствора слабой кислоты и ее константы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социации………………………………………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5: Определение меди в природных объектах фотометричес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методом…………………………………………………</w:t>
            </w:r>
            <w:r w:rsidR="00496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2.3 Задания к лабор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рным работам………………………………………</w:t>
            </w:r>
            <w:r w:rsidR="004966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2.3.1 Задания к лабораторным работам по общей химии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 w:rsidR="004966AD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2.3.2 Задания к лабораторным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по аналитической химии………….379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3 Контроль знаний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  <w:r w:rsidR="00496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Pr="00E63898">
              <w:rPr>
                <w:rFonts w:ascii="Times New Roman" w:hAnsi="Times New Roman" w:cs="Times New Roman"/>
              </w:rPr>
              <w:t xml:space="preserve"> </w:t>
            </w: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Перечень вопросов к зачету по аналитической химии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 w:rsidR="004966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3.2 Перечень вопросов к экзамену по общей и аналитической химии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4966A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pStyle w:val="2"/>
              <w:spacing w:line="240" w:lineRule="auto"/>
              <w:ind w:hanging="720"/>
              <w:rPr>
                <w:rFonts w:ascii="Times New Roman" w:hAnsi="Times New Roman"/>
                <w:sz w:val="28"/>
                <w:szCs w:val="28"/>
              </w:rPr>
            </w:pPr>
            <w:r w:rsidRPr="00E63898">
              <w:rPr>
                <w:rFonts w:ascii="Times New Roman" w:hAnsi="Times New Roman"/>
                <w:sz w:val="28"/>
                <w:szCs w:val="28"/>
              </w:rPr>
              <w:t>3.3 Критерии оцен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966AD">
              <w:rPr>
                <w:rFonts w:ascii="Times New Roman" w:hAnsi="Times New Roman"/>
                <w:sz w:val="28"/>
                <w:szCs w:val="28"/>
              </w:rPr>
              <w:t>по дисциплине……………………………………….</w:t>
            </w:r>
            <w:r>
              <w:rPr>
                <w:rFonts w:ascii="Times New Roman" w:hAnsi="Times New Roman"/>
                <w:sz w:val="28"/>
                <w:szCs w:val="28"/>
              </w:rPr>
              <w:t>390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pStyle w:val="2"/>
              <w:tabs>
                <w:tab w:val="left" w:pos="8824"/>
              </w:tabs>
              <w:spacing w:line="240" w:lineRule="auto"/>
              <w:ind w:hanging="720"/>
              <w:rPr>
                <w:rFonts w:ascii="Times New Roman" w:hAnsi="Times New Roman"/>
                <w:sz w:val="28"/>
                <w:szCs w:val="28"/>
              </w:rPr>
            </w:pPr>
            <w:r w:rsidRPr="00E63898">
              <w:rPr>
                <w:rFonts w:ascii="Times New Roman" w:hAnsi="Times New Roman"/>
                <w:sz w:val="28"/>
                <w:szCs w:val="28"/>
              </w:rPr>
              <w:t xml:space="preserve">3.4 Образец </w:t>
            </w:r>
            <w:r>
              <w:rPr>
                <w:rFonts w:ascii="Times New Roman" w:hAnsi="Times New Roman"/>
                <w:sz w:val="28"/>
                <w:szCs w:val="28"/>
              </w:rPr>
              <w:t>тестовых задан</w:t>
            </w:r>
            <w:r>
              <w:rPr>
                <w:rFonts w:ascii="Times New Roman" w:hAnsi="Times New Roman"/>
                <w:sz w:val="28"/>
                <w:szCs w:val="28"/>
              </w:rPr>
              <w:t>ий по дисциплин………………………………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4 Вспомогательный 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 xml:space="preserve">4.1 Учебная программа дисциплины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</w:tr>
      <w:tr w:rsidR="00A72669" w:rsidRPr="00E63898" w:rsidTr="00202DB9">
        <w:trPr>
          <w:trHeight w:val="89"/>
        </w:trPr>
        <w:tc>
          <w:tcPr>
            <w:tcW w:w="9571" w:type="dxa"/>
          </w:tcPr>
          <w:p w:rsidR="00A72669" w:rsidRPr="00E63898" w:rsidRDefault="00A72669" w:rsidP="00A72669">
            <w:pPr>
              <w:tabs>
                <w:tab w:val="left" w:pos="64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898">
              <w:rPr>
                <w:rFonts w:ascii="Times New Roman" w:hAnsi="Times New Roman" w:cs="Times New Roman"/>
                <w:sz w:val="28"/>
                <w:szCs w:val="28"/>
              </w:rPr>
              <w:t>4.2 Перечень рекомендуемой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</w:tr>
    </w:tbl>
    <w:p w:rsidR="00A72669" w:rsidRPr="00E63898" w:rsidRDefault="00A72669" w:rsidP="00A72669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A72669" w:rsidRPr="00E63898" w:rsidRDefault="00A72669" w:rsidP="00A72669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A72669" w:rsidRPr="009E00D9" w:rsidRDefault="00A72669" w:rsidP="00A72669">
      <w:pPr>
        <w:keepNext/>
        <w:spacing w:before="20" w:after="120" w:line="240" w:lineRule="auto"/>
        <w:ind w:firstLine="357"/>
        <w:jc w:val="center"/>
        <w:outlineLvl w:val="0"/>
        <w:rPr>
          <w:rFonts w:ascii="Times New Roman" w:hAnsi="Times New Roman"/>
          <w:b/>
          <w:bCs/>
          <w:caps/>
          <w:kern w:val="32"/>
          <w:sz w:val="30"/>
          <w:szCs w:val="30"/>
          <w:lang w:eastAsia="ru-RU"/>
        </w:rPr>
      </w:pPr>
      <w:r w:rsidRPr="00E63898">
        <w:rPr>
          <w:rFonts w:ascii="Times New Roman" w:hAnsi="Times New Roman" w:cs="Times New Roman"/>
          <w:sz w:val="21"/>
        </w:rPr>
        <w:br w:type="page"/>
      </w:r>
      <w:r w:rsidRPr="009E00D9">
        <w:rPr>
          <w:rFonts w:ascii="Times New Roman" w:hAnsi="Times New Roman"/>
          <w:b/>
          <w:bCs/>
          <w:caps/>
          <w:kern w:val="32"/>
          <w:sz w:val="30"/>
          <w:szCs w:val="30"/>
          <w:lang w:eastAsia="ru-RU"/>
        </w:rPr>
        <w:lastRenderedPageBreak/>
        <w:t>Пояснительная записка</w:t>
      </w:r>
    </w:p>
    <w:p w:rsidR="00A72669" w:rsidRPr="00FC7779" w:rsidRDefault="00A72669" w:rsidP="00A72669">
      <w:pPr>
        <w:spacing w:after="0" w:line="240" w:lineRule="auto"/>
        <w:ind w:firstLine="720"/>
        <w:jc w:val="center"/>
        <w:rPr>
          <w:rFonts w:ascii="Times New Roman" w:hAnsi="Times New Roman"/>
          <w:caps/>
          <w:sz w:val="30"/>
          <w:szCs w:val="30"/>
          <w:lang w:eastAsia="ru-RU"/>
        </w:rPr>
      </w:pPr>
    </w:p>
    <w:p w:rsidR="00A72669" w:rsidRPr="00A83AD0" w:rsidRDefault="00A72669" w:rsidP="00A72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t>Электронный учебно-методический комплекс (ЭУМК) по дисциплине «Общая и аналитическая химия» представляет собой комплекс систематизированных учебных, методических и вспомогательных материалов, предназначенных для использования в образовательном процессе специальности 1-75 01 01 «Лесное хозяйство».</w:t>
      </w:r>
    </w:p>
    <w:p w:rsidR="00A72669" w:rsidRPr="00A83AD0" w:rsidRDefault="00A72669" w:rsidP="00A72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t xml:space="preserve">Основная задача ЭУМК – способствовать изучению студентами основных разделов химии, формирующих фундаментальную и практическую подготовку специалистов специальности «Лесное хозяйство», раскрытию физического смысла химических процессов, основных понятий и законов общей и аналитической химии; пониманию студентами современного состояния науки, места общей и аналитической химии в системе других наук; </w:t>
      </w:r>
      <w:proofErr w:type="gramStart"/>
      <w:r w:rsidRPr="00A83AD0">
        <w:rPr>
          <w:rFonts w:ascii="Times New Roman" w:hAnsi="Times New Roman"/>
          <w:sz w:val="28"/>
          <w:szCs w:val="28"/>
          <w:lang w:eastAsia="ru-RU"/>
        </w:rPr>
        <w:t>ознакомлению  с</w:t>
      </w:r>
      <w:proofErr w:type="gramEnd"/>
      <w:r w:rsidRPr="00A83AD0">
        <w:rPr>
          <w:rFonts w:ascii="Times New Roman" w:hAnsi="Times New Roman"/>
          <w:sz w:val="28"/>
          <w:szCs w:val="28"/>
          <w:lang w:eastAsia="ru-RU"/>
        </w:rPr>
        <w:t xml:space="preserve"> основами методов качественного и количественного анализа веществ.</w:t>
      </w:r>
    </w:p>
    <w:p w:rsidR="00A72669" w:rsidRPr="00A83AD0" w:rsidRDefault="00A72669" w:rsidP="00A72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t xml:space="preserve">Целью электронного учебно-методического комплекса является оказание помощи в усвоении представлений о теоретических основах и практическом приложении общей и  аналитической химии; в овладении знаниями о физико-химических закономерностях протекания и аналитических особенностях химических реакций; в применении законов общей и аналитической химии при решении конкретных теоретических и практических задач; ознакомлении с физико-химическими методами анализа, применении их в практической деятельности специалистов специальности «Лесное хозяйство», при решении экологических проблем. </w:t>
      </w:r>
    </w:p>
    <w:p w:rsidR="00A72669" w:rsidRPr="00A83AD0" w:rsidRDefault="00A72669" w:rsidP="00A72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t xml:space="preserve">ЭУМК способствует овладению основными понятиями и законами общей и аналитической химии; знанию современного состояния науки, места данной дисциплины в системе других наук; методами количественного анализа веществ; ознакомлению с основными достижениями современной химии и перспективами их использования в решении различных проблем; ролью общей и аналитической химии в изучении биологических объектов; в овладении знаниями о физико-химических закономерностей протекания химических реакций; в применении законов общей и аналитической химии при решении конкретных теоретических и практических задач. </w:t>
      </w:r>
    </w:p>
    <w:p w:rsidR="00A72669" w:rsidRPr="00A83AD0" w:rsidRDefault="00A72669" w:rsidP="00A72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t>Организация изучения дисциплины «Общая и аналитическая химия» на основе ЭУМК предполагает продуктивную образовательную деятельность, позволяющую сформировать социально-личностные и профессиональные компетенции будущих специалистов, обеспечить развитие познавательных способностей студентов.</w:t>
      </w:r>
    </w:p>
    <w:p w:rsidR="00A72669" w:rsidRPr="00A83AD0" w:rsidRDefault="00A72669" w:rsidP="00A72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t>ЭУМК направлен на оказание помощи студентам в ознакомлении с приемами применения изученных законов и понятий в практической деятельности; установлении количественного состава веществ; проведении численных расчетов равновесий с участием различных типов реакций; обращении с аналитическим оборудованием, химическими веществами, проведении анализа различных объектов.</w:t>
      </w:r>
    </w:p>
    <w:p w:rsidR="00A72669" w:rsidRPr="00A83AD0" w:rsidRDefault="00A72669" w:rsidP="00A72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Организация изучения дисциплины «Общая и аналитическая химия» на основе ЭУМК предполагает продуктивную образовательную деятельность, позволяющую сформировать следующие компетенции: владеть навыками </w:t>
      </w:r>
      <w:proofErr w:type="spellStart"/>
      <w:r w:rsidRPr="00A83AD0">
        <w:rPr>
          <w:rFonts w:ascii="Times New Roman" w:hAnsi="Times New Roman"/>
          <w:sz w:val="28"/>
          <w:szCs w:val="28"/>
          <w:lang w:eastAsia="ru-RU"/>
        </w:rPr>
        <w:t>здоровьесбережения</w:t>
      </w:r>
      <w:proofErr w:type="spellEnd"/>
      <w:r w:rsidRPr="00A83AD0">
        <w:rPr>
          <w:rFonts w:ascii="Times New Roman" w:hAnsi="Times New Roman"/>
          <w:sz w:val="28"/>
          <w:szCs w:val="28"/>
          <w:lang w:eastAsia="ru-RU"/>
        </w:rPr>
        <w:t>, быть способными к анализу основных принципов взаимодействия общества и природы, уметь решать практические задачи их устойчивого совместного развития, уметь применять базовые теоретические знания и практические навыки для решения теоретических и практических задач в области создания и совершенствования инновационных технологий в отрасли,  обеспечить развитие познавательных способностей студентов.</w:t>
      </w:r>
    </w:p>
    <w:p w:rsidR="00A72669" w:rsidRPr="00A83AD0" w:rsidRDefault="00A72669" w:rsidP="00A72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t xml:space="preserve">ЭУМК направлен на оказание помощи студентам в ознакомлении с приемами применения изученных законов и понятий в практической деятельности; установлении количественного состава веществ; проведении численных расчетов равновесий с участием различных типов реакций; обращении с аналитическим оборудованием, химическими веществами, проведении анализа различных объектов. </w:t>
      </w:r>
    </w:p>
    <w:p w:rsidR="00A72669" w:rsidRPr="00A83AD0" w:rsidRDefault="00A72669" w:rsidP="00A726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t>ЭУМК включает в себя: титульный лист, пояснительную записку, теоретический раздел, который содержит тексты лекций по общей и аналитической химии, включающие материал по темам «Строение вещества. Строение атома», «Химическая кинетика и равновесие», «Растворы», «</w:t>
      </w:r>
      <w:proofErr w:type="spellStart"/>
      <w:r w:rsidRPr="00A83AD0">
        <w:rPr>
          <w:rFonts w:ascii="Times New Roman" w:hAnsi="Times New Roman"/>
          <w:sz w:val="28"/>
          <w:szCs w:val="28"/>
          <w:lang w:eastAsia="ru-RU"/>
        </w:rPr>
        <w:t>Комплексообразование</w:t>
      </w:r>
      <w:proofErr w:type="spellEnd"/>
      <w:r w:rsidRPr="00A83AD0">
        <w:rPr>
          <w:rFonts w:ascii="Times New Roman" w:hAnsi="Times New Roman"/>
          <w:sz w:val="28"/>
          <w:szCs w:val="28"/>
          <w:lang w:eastAsia="ru-RU"/>
        </w:rPr>
        <w:t xml:space="preserve"> в растворах», «</w:t>
      </w:r>
      <w:proofErr w:type="spellStart"/>
      <w:r w:rsidRPr="00A83AD0">
        <w:rPr>
          <w:rFonts w:ascii="Times New Roman" w:hAnsi="Times New Roman"/>
          <w:sz w:val="28"/>
          <w:szCs w:val="28"/>
          <w:lang w:eastAsia="ru-RU"/>
        </w:rPr>
        <w:t>Окислительно</w:t>
      </w:r>
      <w:proofErr w:type="spellEnd"/>
      <w:r w:rsidRPr="00A83AD0">
        <w:rPr>
          <w:rFonts w:ascii="Times New Roman" w:hAnsi="Times New Roman"/>
          <w:sz w:val="28"/>
          <w:szCs w:val="28"/>
          <w:lang w:eastAsia="ru-RU"/>
        </w:rPr>
        <w:t xml:space="preserve"> -восстановительные реакции», лекции по изучению химии элементов; практический раздел, который содержит подробное описание лабораторных работ. Лабораторные работы предусматривают освоение техники выполнения химического эксперимента, приготовление и стандартизацию растворов, проведение химического анализа по определению качественного и количественного состава вещества и должны быть обеспечены химической посудой, реактивами, средствами измерений; раздел контроля знаний студентов, включающий вопросы и задачи к экзамену и зачету по дисциплине, позволяющие определить соответствие результатов учебной деятельности студентов требованиям образовательных стандартов высшего образования, критерии оценок по дисциплине, образец тестовых заданий и вспомогательный раздел (учебная программа, перечень рекомендуемой литературы).  Все разделы ЭУМК в полной мере соответствуют содержанию и объему образовательного стандарта.</w:t>
      </w:r>
    </w:p>
    <w:p w:rsidR="00A72669" w:rsidRPr="003C70CB" w:rsidRDefault="00A72669" w:rsidP="004966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A83AD0">
        <w:rPr>
          <w:rFonts w:ascii="Times New Roman" w:hAnsi="Times New Roman"/>
          <w:sz w:val="28"/>
          <w:szCs w:val="28"/>
          <w:lang w:eastAsia="ru-RU"/>
        </w:rPr>
        <w:t>Дисциплина «Общая и аналитическая химия» изучается студентами специальности 1-75 01 01 «Лесное хозяйство» дневной формы обучения: 1 курс 1, 2 семестры; заочной формы обучения: 1 курс 1, 2 семестры и 2 курс 3 семестр.</w:t>
      </w:r>
    </w:p>
    <w:p w:rsidR="004D45F3" w:rsidRDefault="004D45F3" w:rsidP="00A72669">
      <w:pPr>
        <w:spacing w:line="240" w:lineRule="auto"/>
      </w:pPr>
    </w:p>
    <w:sectPr w:rsidR="004D4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669"/>
    <w:rsid w:val="004966AD"/>
    <w:rsid w:val="004D45F3"/>
    <w:rsid w:val="00A7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5A2AF"/>
  <w15:chartTrackingRefBased/>
  <w15:docId w15:val="{E584712B-3107-47DA-901C-8FF90D219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66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A72669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26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7266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table" w:styleId="a3">
    <w:name w:val="Table Grid"/>
    <w:basedOn w:val="a1"/>
    <w:uiPriority w:val="59"/>
    <w:rsid w:val="00A72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rsid w:val="00A7266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Hadanovich</dc:creator>
  <cp:keywords/>
  <dc:description/>
  <cp:lastModifiedBy>Albina Hadanovich</cp:lastModifiedBy>
  <cp:revision>1</cp:revision>
  <dcterms:created xsi:type="dcterms:W3CDTF">2020-05-26T08:48:00Z</dcterms:created>
  <dcterms:modified xsi:type="dcterms:W3CDTF">2020-05-26T09:15:00Z</dcterms:modified>
</cp:coreProperties>
</file>